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left"/>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080135" cy="64135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Pr/>
        <w:br w:type="textWrapping" w:clear="all"/>
      </w: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投资管理制度</w:t>
      </w: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tbl>
      <w:tblPr>
        <w:tblStyle w:val="8"/>
        <w:tblpPr w:leftFromText="180" w:rightFromText="180" w:vertAnchor="text" w:horzAnchor="margin" w:tblpXSpec="center" w:tblpY="-4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关 键 字：</w:t>
            </w:r>
            <w:r>
              <w:rPr>
                <w:rFonts w:hint="eastAsia" w:ascii="宋体" w:hAnsi="宋体"/>
                <w:sz w:val="22"/>
              </w:rPr>
              <w:t>投资管理</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编    号：</w:t>
            </w:r>
            <w:r>
              <w:rPr>
                <w:rFonts w:ascii="宋体" w:hAnsi="宋体"/>
                <w:sz w:val="22"/>
              </w:rPr>
              <w:t xml:space="preserve"> YHGY-2021-019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3539" w:type="dxa"/>
            <w:shd w:val="clear" w:color="auto" w:fill="auto"/>
            <w:vAlign w:val="center"/>
          </w:tcPr>
          <w:p>
            <w:pPr>
              <w:ind w:firstLine="0" w:firstLineChars="0"/>
              <w:rPr>
                <w:rFonts w:ascii="宋体" w:hAnsi="宋体"/>
                <w:b/>
                <w:sz w:val="22"/>
              </w:rPr>
            </w:pPr>
            <w:r>
              <w:rPr>
                <w:rFonts w:hint="eastAsia" w:ascii="宋体" w:hAnsi="宋体"/>
                <w:b/>
                <w:sz w:val="22"/>
              </w:rPr>
              <w:t>文档类型：</w:t>
            </w:r>
            <w:r>
              <w:rPr>
                <w:rFonts w:hint="eastAsia" w:ascii="宋体" w:hAnsi="宋体"/>
                <w:sz w:val="22"/>
              </w:rPr>
              <w:t>□ 试用</w:t>
            </w:r>
            <w:r>
              <w:rPr>
                <w:rFonts w:hint="eastAsia" w:ascii="宋体" w:hAnsi="宋体"/>
                <w:b/>
                <w:sz w:val="22"/>
              </w:rPr>
              <w:t xml:space="preserve">   </w:t>
            </w:r>
            <w:r>
              <w:rPr>
                <w:rFonts w:hint="eastAsia" w:ascii="宋体" w:hAnsi="宋体"/>
                <w:sz w:val="22"/>
              </w:rPr>
              <w:t>■正式</w:t>
            </w:r>
            <w:r>
              <w:rPr>
                <w:rFonts w:hint="eastAsia" w:ascii="宋体" w:hAnsi="宋体"/>
                <w:b/>
                <w:sz w:val="22"/>
              </w:rPr>
              <w:t xml:space="preserve">   </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文档版本：</w:t>
            </w:r>
            <w:r>
              <w:rPr>
                <w:rFonts w:hint="eastAsia" w:ascii="宋体" w:hAnsi="宋体"/>
                <w:sz w:val="22"/>
              </w:rPr>
              <w:t>V</w:t>
            </w:r>
            <w:r>
              <w:rPr>
                <w:rFonts w:ascii="宋体" w:hAnsi="宋体"/>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发文范围：</w:t>
            </w:r>
            <w:r>
              <w:rPr>
                <w:rFonts w:hint="eastAsia" w:ascii="宋体" w:hAnsi="宋体"/>
                <w:sz w:val="22"/>
              </w:rPr>
              <w:t>□ 部门  ■ 基金会</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有效范围：</w:t>
            </w:r>
            <w:r>
              <w:rPr>
                <w:rFonts w:hint="eastAsia" w:ascii="宋体" w:hAnsi="宋体"/>
                <w:sz w:val="22"/>
              </w:rPr>
              <w:t>基金会全体</w:t>
            </w:r>
          </w:p>
        </w:tc>
      </w:tr>
    </w:tbl>
    <w:p>
      <w:pPr>
        <w:ind w:firstLine="442"/>
        <w:rPr>
          <w:rFonts w:asciiTheme="majorEastAsia" w:hAnsiTheme="majorEastAsia" w:eastAsiaTheme="majorEastAsia"/>
          <w:b/>
          <w:sz w:val="2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spacing w:before="312" w:beforeLines="100" w:after="312" w:afterLines="100"/>
        <w:ind w:firstLine="0" w:firstLineChars="0"/>
        <w:jc w:val="center"/>
        <w:rPr>
          <w:rFonts w:ascii="宋体" w:hAnsi="宋体"/>
          <w:b/>
          <w:sz w:val="24"/>
        </w:rPr>
      </w:pPr>
      <w:r>
        <w:rPr>
          <w:rFonts w:hint="eastAsia" w:ascii="宋体" w:hAnsi="宋体"/>
          <w:b/>
          <w:sz w:val="24"/>
        </w:rPr>
        <w:t>第一章 总则</w:t>
      </w:r>
    </w:p>
    <w:p>
      <w:pPr>
        <w:ind w:firstLine="422"/>
        <w:rPr>
          <w:rFonts w:hint="eastAsia"/>
        </w:rPr>
      </w:pPr>
      <w:r>
        <w:rPr>
          <w:rFonts w:hint="eastAsia"/>
          <w:b/>
        </w:rPr>
        <w:t>第一条</w:t>
      </w:r>
      <w:r>
        <w:rPr>
          <w:rFonts w:hint="eastAsia"/>
        </w:rPr>
        <w:t xml:space="preserve"> 为规范上海市岩华公益基金会（以下简称“基金会”）的投资管理，提高资金运作效率，防范投资理财决策和执行过程中的相关风险，根据民政部颁布的《关于规范基金会行为的若干规定（试行）》等有关法律法规及《上海市岩华公益基金会章程》，结合基金会实际情况，特制定本制度。 </w:t>
      </w:r>
    </w:p>
    <w:p>
      <w:pPr>
        <w:ind w:firstLine="422"/>
        <w:rPr>
          <w:rFonts w:hint="eastAsia"/>
        </w:rPr>
      </w:pPr>
      <w:r>
        <w:rPr>
          <w:rFonts w:hint="eastAsia"/>
          <w:b/>
        </w:rPr>
        <w:t>第二条</w:t>
      </w:r>
      <w:r>
        <w:rPr>
          <w:rFonts w:hint="eastAsia"/>
        </w:rPr>
        <w:t xml:space="preserve"> 本制度适用于上海市岩华公益基金会的投资管理。 </w:t>
      </w:r>
    </w:p>
    <w:p>
      <w:pPr>
        <w:ind w:firstLine="422"/>
      </w:pPr>
      <w:r>
        <w:rPr>
          <w:rFonts w:hint="eastAsia"/>
          <w:b/>
        </w:rPr>
        <w:t>第三条</w:t>
      </w:r>
      <w:r>
        <w:rPr>
          <w:rFonts w:hint="eastAsia"/>
        </w:rPr>
        <w:t xml:space="preserve"> 本制度所称投资是指基金会短期、长期的投资理财行为，具体包括基金会购买短期、长期持有的银行理财产品、货币市场基金及其它经理事会批准的理财方式。</w:t>
      </w:r>
    </w:p>
    <w:p>
      <w:pPr>
        <w:spacing w:before="312" w:beforeLines="100" w:after="312" w:afterLines="100"/>
        <w:ind w:left="420" w:firstLine="0" w:firstLineChars="0"/>
        <w:jc w:val="center"/>
        <w:rPr>
          <w:rFonts w:ascii="宋体" w:hAnsi="宋体"/>
          <w:b/>
          <w:sz w:val="24"/>
        </w:rPr>
      </w:pPr>
      <w:r>
        <w:rPr>
          <w:rFonts w:hint="eastAsia" w:ascii="宋体" w:hAnsi="宋体"/>
          <w:b/>
          <w:sz w:val="24"/>
        </w:rPr>
        <w:t>第二章 投资的提出与审核</w:t>
      </w:r>
      <w:bookmarkStart w:id="0" w:name="_GoBack"/>
      <w:bookmarkEnd w:id="0"/>
    </w:p>
    <w:p>
      <w:pPr>
        <w:ind w:firstLine="422"/>
        <w:rPr>
          <w:rFonts w:hint="eastAsia" w:asciiTheme="minorEastAsia" w:hAnsiTheme="minorEastAsia"/>
          <w:szCs w:val="24"/>
        </w:rPr>
      </w:pPr>
      <w:r>
        <w:rPr>
          <w:rFonts w:hint="eastAsia" w:asciiTheme="minorEastAsia" w:hAnsiTheme="minorEastAsia"/>
          <w:b/>
          <w:szCs w:val="24"/>
        </w:rPr>
        <w:t xml:space="preserve">第四条 </w:t>
      </w:r>
      <w:r>
        <w:rPr>
          <w:rFonts w:hint="eastAsia" w:asciiTheme="minorEastAsia" w:hAnsiTheme="minorEastAsia"/>
          <w:szCs w:val="24"/>
        </w:rPr>
        <w:t xml:space="preserve">基金会投资应以保本、保证资金安全、税后收益率高于银行定期存款利率为基本前提。 </w:t>
      </w:r>
    </w:p>
    <w:p>
      <w:pPr>
        <w:ind w:firstLine="422"/>
        <w:rPr>
          <w:rFonts w:hint="eastAsia" w:asciiTheme="minorEastAsia" w:hAnsiTheme="minorEastAsia"/>
          <w:szCs w:val="24"/>
        </w:rPr>
      </w:pPr>
      <w:r>
        <w:rPr>
          <w:rFonts w:hint="eastAsia" w:asciiTheme="minorEastAsia" w:hAnsiTheme="minorEastAsia"/>
          <w:b/>
          <w:szCs w:val="24"/>
        </w:rPr>
        <w:t xml:space="preserve">第五条 </w:t>
      </w:r>
      <w:r>
        <w:rPr>
          <w:rFonts w:hint="eastAsia" w:asciiTheme="minorEastAsia" w:hAnsiTheme="minorEastAsia"/>
          <w:szCs w:val="24"/>
        </w:rPr>
        <w:t xml:space="preserve">基金会财务部（以下简称“财务部”）应根据资金盈余情况，确定当年投资理财资金可使用金额，同时进行投资理财环境分析和调查，收集信息，积极与银行等金融机构沟通，报理事会审批。 </w:t>
      </w:r>
    </w:p>
    <w:p>
      <w:pPr>
        <w:ind w:firstLine="422"/>
        <w:rPr>
          <w:rFonts w:hint="eastAsia" w:asciiTheme="minorEastAsia" w:hAnsiTheme="minorEastAsia"/>
          <w:b/>
          <w:szCs w:val="24"/>
          <w:highlight w:val="none"/>
        </w:rPr>
      </w:pPr>
      <w:r>
        <w:rPr>
          <w:rFonts w:hint="eastAsia" w:asciiTheme="minorEastAsia" w:hAnsiTheme="minorEastAsia"/>
          <w:b/>
          <w:szCs w:val="24"/>
          <w:highlight w:val="none"/>
        </w:rPr>
        <w:t xml:space="preserve">第六条 </w:t>
      </w:r>
      <w:r>
        <w:rPr>
          <w:rFonts w:hint="eastAsia" w:asciiTheme="minorEastAsia" w:hAnsiTheme="minorEastAsia"/>
          <w:szCs w:val="24"/>
          <w:highlight w:val="none"/>
        </w:rPr>
        <w:t xml:space="preserve">理事会是基金会投资的最高决策机构，投资建议需报理事会进行审议并通过方为有效。 </w:t>
      </w:r>
    </w:p>
    <w:p>
      <w:pPr>
        <w:ind w:firstLine="422"/>
        <w:rPr>
          <w:rFonts w:hint="eastAsia" w:asciiTheme="minorEastAsia" w:hAnsiTheme="minorEastAsia"/>
          <w:b/>
          <w:szCs w:val="24"/>
          <w:highlight w:val="none"/>
        </w:rPr>
      </w:pPr>
      <w:r>
        <w:rPr>
          <w:rFonts w:hint="eastAsia" w:asciiTheme="minorEastAsia" w:hAnsiTheme="minorEastAsia"/>
          <w:b/>
          <w:szCs w:val="24"/>
          <w:highlight w:val="none"/>
        </w:rPr>
        <w:t xml:space="preserve">第七条 </w:t>
      </w:r>
      <w:r>
        <w:rPr>
          <w:rFonts w:hint="eastAsia" w:asciiTheme="minorEastAsia" w:hAnsiTheme="minorEastAsia"/>
          <w:szCs w:val="24"/>
          <w:highlight w:val="none"/>
        </w:rPr>
        <w:t>经审批通过的投资决议内容至少应包括：投资理财限额、投资理财期限、投资理财种类等。</w:t>
      </w:r>
      <w:r>
        <w:rPr>
          <w:rFonts w:hint="eastAsia" w:asciiTheme="minorEastAsia" w:hAnsiTheme="minorEastAsia"/>
          <w:b/>
          <w:szCs w:val="24"/>
          <w:highlight w:val="none"/>
        </w:rPr>
        <w:t xml:space="preserve"> </w:t>
      </w:r>
    </w:p>
    <w:p>
      <w:pPr>
        <w:ind w:firstLine="422"/>
        <w:rPr>
          <w:rFonts w:asciiTheme="minorEastAsia" w:hAnsiTheme="minorEastAsia"/>
          <w:szCs w:val="24"/>
          <w:highlight w:val="none"/>
        </w:rPr>
      </w:pPr>
      <w:r>
        <w:rPr>
          <w:rFonts w:hint="eastAsia" w:asciiTheme="minorEastAsia" w:hAnsiTheme="minorEastAsia"/>
          <w:b/>
          <w:szCs w:val="24"/>
          <w:highlight w:val="none"/>
        </w:rPr>
        <w:t xml:space="preserve">第八条 </w:t>
      </w:r>
      <w:r>
        <w:rPr>
          <w:rFonts w:hint="eastAsia" w:asciiTheme="minorEastAsia" w:hAnsiTheme="minorEastAsia"/>
          <w:szCs w:val="24"/>
          <w:highlight w:val="none"/>
        </w:rPr>
        <w:t>基金会委托理财事项应由基金会理事会审议批准，不得将委托理财审批权授予基金会理事个人行使。</w:t>
      </w:r>
    </w:p>
    <w:p>
      <w:pPr>
        <w:spacing w:before="312" w:beforeLines="100" w:after="312" w:afterLines="100"/>
        <w:ind w:left="420" w:firstLine="0" w:firstLineChars="0"/>
        <w:jc w:val="center"/>
        <w:rPr>
          <w:rFonts w:ascii="宋体" w:hAnsi="宋体"/>
          <w:b/>
          <w:sz w:val="24"/>
        </w:rPr>
      </w:pPr>
      <w:r>
        <w:rPr>
          <w:rFonts w:hint="eastAsia" w:ascii="宋体" w:hAnsi="宋体"/>
          <w:b/>
          <w:sz w:val="24"/>
        </w:rPr>
        <w:t>第三章 投资理财的实施与管理</w:t>
      </w:r>
    </w:p>
    <w:p>
      <w:pPr>
        <w:ind w:firstLine="422"/>
        <w:rPr>
          <w:rFonts w:hint="eastAsia"/>
        </w:rPr>
      </w:pPr>
      <w:r>
        <w:rPr>
          <w:rFonts w:hint="eastAsia"/>
          <w:b/>
        </w:rPr>
        <w:t>第九条</w:t>
      </w:r>
      <w:r>
        <w:rPr>
          <w:rFonts w:hint="eastAsia"/>
        </w:rPr>
        <w:t xml:space="preserve"> 基金会进行委托投资理财时，应选择财务状况良好、盈利能力强及无不良诚信记录的合格专业理财机构作为受托方，并与受托方签订书面合同，明确委托理财的金额、期限、投资理财品种、双方的权利义务及法律责任等。 </w:t>
      </w:r>
    </w:p>
    <w:p>
      <w:pPr>
        <w:ind w:firstLine="422"/>
        <w:rPr>
          <w:rFonts w:hint="eastAsia"/>
        </w:rPr>
      </w:pPr>
      <w:r>
        <w:rPr>
          <w:rFonts w:hint="eastAsia"/>
          <w:b/>
        </w:rPr>
        <w:t>第十条</w:t>
      </w:r>
      <w:r>
        <w:rPr>
          <w:rFonts w:hint="eastAsia"/>
        </w:rPr>
        <w:t xml:space="preserve"> 投资理财必须以基金会自身名义、通过专用投资理财账户进行，并由财务部指派专人负责投资理财账户的管理，包括开户、使用、销户等。严禁出借投资理财账户、使用其他投资理财账户、账外投资理财。 </w:t>
      </w:r>
    </w:p>
    <w:p>
      <w:pPr>
        <w:ind w:firstLine="422"/>
        <w:rPr>
          <w:rFonts w:hint="eastAsia"/>
        </w:rPr>
      </w:pPr>
      <w:r>
        <w:rPr>
          <w:rFonts w:hint="eastAsia"/>
          <w:b/>
        </w:rPr>
        <w:t>第十一条</w:t>
      </w:r>
      <w:r>
        <w:rPr>
          <w:rFonts w:hint="eastAsia"/>
        </w:rPr>
        <w:t xml:space="preserve"> 财务部须严格按照理事会决议通过的投资理财规模及方式进行投资理财具体运作。 </w:t>
      </w:r>
    </w:p>
    <w:p>
      <w:pPr>
        <w:ind w:firstLine="422"/>
        <w:rPr>
          <w:rFonts w:hint="eastAsia"/>
        </w:rPr>
      </w:pPr>
      <w:r>
        <w:rPr>
          <w:rFonts w:hint="eastAsia"/>
          <w:b/>
        </w:rPr>
        <w:t>第十二条</w:t>
      </w:r>
      <w:r>
        <w:rPr>
          <w:rFonts w:hint="eastAsia"/>
        </w:rPr>
        <w:t xml:space="preserve"> 投资理财类别、资金的统计应由财务部指定专门人员执行，并与财务部资金管理人员及时对账。对账情况要有相应记录及相关人员签字。 </w:t>
      </w:r>
    </w:p>
    <w:p>
      <w:pPr>
        <w:ind w:firstLine="422"/>
        <w:rPr>
          <w:rFonts w:hint="eastAsia"/>
        </w:rPr>
      </w:pPr>
      <w:r>
        <w:rPr>
          <w:rFonts w:hint="eastAsia"/>
          <w:b/>
        </w:rPr>
        <w:t>第十三条</w:t>
      </w:r>
      <w:r>
        <w:rPr>
          <w:rFonts w:hint="eastAsia"/>
        </w:rPr>
        <w:t xml:space="preserve"> 财务部每年年末对基金会当年投资理财情况进行盘点和核算，形成总结报告并存档。</w:t>
      </w:r>
    </w:p>
    <w:p>
      <w:pPr>
        <w:spacing w:before="312" w:beforeLines="100" w:after="312" w:afterLines="100"/>
        <w:ind w:left="420" w:firstLine="0" w:firstLineChars="0"/>
        <w:jc w:val="center"/>
        <w:rPr>
          <w:rFonts w:ascii="宋体" w:hAnsi="宋体"/>
          <w:b/>
          <w:sz w:val="24"/>
        </w:rPr>
      </w:pPr>
      <w:r>
        <w:rPr>
          <w:rFonts w:hint="eastAsia" w:ascii="宋体" w:hAnsi="宋体"/>
          <w:b/>
          <w:sz w:val="24"/>
        </w:rPr>
        <w:t>第四章 附则</w:t>
      </w:r>
    </w:p>
    <w:p>
      <w:pPr>
        <w:ind w:firstLine="422"/>
        <w:rPr>
          <w:rFonts w:hint="eastAsia"/>
        </w:rPr>
      </w:pPr>
      <w:r>
        <w:rPr>
          <w:rFonts w:hint="eastAsia"/>
          <w:b/>
        </w:rPr>
        <w:t>第十四条</w:t>
      </w:r>
      <w:r>
        <w:rPr>
          <w:rFonts w:hint="eastAsia"/>
        </w:rPr>
        <w:t xml:space="preserve"> 本制度自理事会会议通过之日起施行。</w:t>
      </w:r>
    </w:p>
    <w:p>
      <w:pPr>
        <w:ind w:firstLine="422"/>
        <w:rPr>
          <w:rFonts w:hint="eastAsia"/>
        </w:rPr>
      </w:pPr>
      <w:r>
        <w:rPr>
          <w:rFonts w:hint="eastAsia"/>
          <w:b/>
        </w:rPr>
        <w:t>第十五条</w:t>
      </w:r>
      <w:r>
        <w:rPr>
          <w:rFonts w:hint="eastAsia"/>
        </w:rPr>
        <w:t xml:space="preserve"> 本制度未尽事宜，依照国家有关法律法规及《上海市岩华公益基金会章程》执行。 </w:t>
      </w:r>
    </w:p>
    <w:p>
      <w:pPr>
        <w:ind w:firstLine="422"/>
        <w:rPr>
          <w:rFonts w:hint="eastAsia"/>
        </w:rPr>
      </w:pPr>
      <w:r>
        <w:rPr>
          <w:rFonts w:hint="eastAsia"/>
          <w:b/>
        </w:rPr>
        <w:t>第十六条</w:t>
      </w:r>
      <w:r>
        <w:rPr>
          <w:rFonts w:hint="eastAsia"/>
        </w:rPr>
        <w:t xml:space="preserve"> 本制度由上海市岩华公益基金会负责解释。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20" w:footer="85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67184"/>
      <w:docPartObj>
        <w:docPartGallery w:val="AutoText"/>
      </w:docPartObj>
    </w:sdtPr>
    <w:sdtContent>
      <w:sdt>
        <w:sdtPr>
          <w:id w:val="1728636285"/>
          <w:docPartObj>
            <w:docPartGallery w:val="AutoText"/>
          </w:docPartObj>
        </w:sdtPr>
        <w:sdtContent>
          <w:p>
            <w:pPr>
              <w:pStyle w:val="4"/>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drawing>
        <wp:inline distT="0" distB="0" distL="0" distR="0">
          <wp:extent cx="1007745" cy="5981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5542"/>
    <w:rsid w:val="00006D0B"/>
    <w:rsid w:val="00023308"/>
    <w:rsid w:val="00064894"/>
    <w:rsid w:val="0008028E"/>
    <w:rsid w:val="00091F1E"/>
    <w:rsid w:val="000D4890"/>
    <w:rsid w:val="000F7759"/>
    <w:rsid w:val="001012E7"/>
    <w:rsid w:val="00103BBB"/>
    <w:rsid w:val="0011317E"/>
    <w:rsid w:val="00120D18"/>
    <w:rsid w:val="00153FA8"/>
    <w:rsid w:val="001757EA"/>
    <w:rsid w:val="00187361"/>
    <w:rsid w:val="001873A3"/>
    <w:rsid w:val="001912E1"/>
    <w:rsid w:val="001960AC"/>
    <w:rsid w:val="001A2F8C"/>
    <w:rsid w:val="001A72FC"/>
    <w:rsid w:val="001F400F"/>
    <w:rsid w:val="00210EEE"/>
    <w:rsid w:val="002113B2"/>
    <w:rsid w:val="0021654A"/>
    <w:rsid w:val="00222096"/>
    <w:rsid w:val="002337E0"/>
    <w:rsid w:val="002513CC"/>
    <w:rsid w:val="00262F60"/>
    <w:rsid w:val="00264420"/>
    <w:rsid w:val="00281591"/>
    <w:rsid w:val="00287EDB"/>
    <w:rsid w:val="00297171"/>
    <w:rsid w:val="0029773A"/>
    <w:rsid w:val="002D006C"/>
    <w:rsid w:val="002D78DE"/>
    <w:rsid w:val="0030074A"/>
    <w:rsid w:val="00306210"/>
    <w:rsid w:val="00321F94"/>
    <w:rsid w:val="003260C2"/>
    <w:rsid w:val="00333358"/>
    <w:rsid w:val="00340BF0"/>
    <w:rsid w:val="00362F92"/>
    <w:rsid w:val="0039676D"/>
    <w:rsid w:val="00397E49"/>
    <w:rsid w:val="003D1836"/>
    <w:rsid w:val="003E3659"/>
    <w:rsid w:val="003F572D"/>
    <w:rsid w:val="003F6FDC"/>
    <w:rsid w:val="00404D1F"/>
    <w:rsid w:val="00405053"/>
    <w:rsid w:val="0044382C"/>
    <w:rsid w:val="00444AD5"/>
    <w:rsid w:val="004806A0"/>
    <w:rsid w:val="004A1767"/>
    <w:rsid w:val="004B0B16"/>
    <w:rsid w:val="004C52F7"/>
    <w:rsid w:val="004C68A8"/>
    <w:rsid w:val="004D3F55"/>
    <w:rsid w:val="004E4332"/>
    <w:rsid w:val="004F211E"/>
    <w:rsid w:val="0052218F"/>
    <w:rsid w:val="005800B4"/>
    <w:rsid w:val="0058278B"/>
    <w:rsid w:val="005A7089"/>
    <w:rsid w:val="005F7009"/>
    <w:rsid w:val="005F797B"/>
    <w:rsid w:val="006071BA"/>
    <w:rsid w:val="00610143"/>
    <w:rsid w:val="00637C81"/>
    <w:rsid w:val="00647F5E"/>
    <w:rsid w:val="00652672"/>
    <w:rsid w:val="00654412"/>
    <w:rsid w:val="006601A1"/>
    <w:rsid w:val="00675681"/>
    <w:rsid w:val="00680979"/>
    <w:rsid w:val="00682E40"/>
    <w:rsid w:val="00693748"/>
    <w:rsid w:val="006A4753"/>
    <w:rsid w:val="006C6D8E"/>
    <w:rsid w:val="006D07E1"/>
    <w:rsid w:val="00701CAE"/>
    <w:rsid w:val="007300B8"/>
    <w:rsid w:val="00747B49"/>
    <w:rsid w:val="00764CA7"/>
    <w:rsid w:val="00782504"/>
    <w:rsid w:val="00792D5F"/>
    <w:rsid w:val="007B3437"/>
    <w:rsid w:val="007B7D9C"/>
    <w:rsid w:val="007C134F"/>
    <w:rsid w:val="00805919"/>
    <w:rsid w:val="00805E1C"/>
    <w:rsid w:val="00807880"/>
    <w:rsid w:val="008130B2"/>
    <w:rsid w:val="0081402C"/>
    <w:rsid w:val="008153C5"/>
    <w:rsid w:val="00824F6E"/>
    <w:rsid w:val="008262D4"/>
    <w:rsid w:val="0084294B"/>
    <w:rsid w:val="00844CB1"/>
    <w:rsid w:val="00865F75"/>
    <w:rsid w:val="00866ACD"/>
    <w:rsid w:val="008826D0"/>
    <w:rsid w:val="008E0E27"/>
    <w:rsid w:val="008E4174"/>
    <w:rsid w:val="00932ECA"/>
    <w:rsid w:val="009343A0"/>
    <w:rsid w:val="0096099B"/>
    <w:rsid w:val="009674B5"/>
    <w:rsid w:val="009A405E"/>
    <w:rsid w:val="009B4B79"/>
    <w:rsid w:val="009C64A2"/>
    <w:rsid w:val="009D6CA5"/>
    <w:rsid w:val="009E14AA"/>
    <w:rsid w:val="00A126DA"/>
    <w:rsid w:val="00A24C74"/>
    <w:rsid w:val="00A40783"/>
    <w:rsid w:val="00A77F75"/>
    <w:rsid w:val="00A97006"/>
    <w:rsid w:val="00AB770B"/>
    <w:rsid w:val="00AE77E2"/>
    <w:rsid w:val="00AF24D2"/>
    <w:rsid w:val="00B21DC7"/>
    <w:rsid w:val="00B33153"/>
    <w:rsid w:val="00B34685"/>
    <w:rsid w:val="00B37A0F"/>
    <w:rsid w:val="00B85D78"/>
    <w:rsid w:val="00BA7E05"/>
    <w:rsid w:val="00BB6183"/>
    <w:rsid w:val="00BD3ED6"/>
    <w:rsid w:val="00BD5359"/>
    <w:rsid w:val="00BE27F6"/>
    <w:rsid w:val="00C01148"/>
    <w:rsid w:val="00C10700"/>
    <w:rsid w:val="00C1719D"/>
    <w:rsid w:val="00C273A0"/>
    <w:rsid w:val="00C33539"/>
    <w:rsid w:val="00C43F2A"/>
    <w:rsid w:val="00C45BD0"/>
    <w:rsid w:val="00C56771"/>
    <w:rsid w:val="00C60218"/>
    <w:rsid w:val="00C65AE7"/>
    <w:rsid w:val="00C678D4"/>
    <w:rsid w:val="00C76E40"/>
    <w:rsid w:val="00CB0470"/>
    <w:rsid w:val="00CC07B0"/>
    <w:rsid w:val="00CE467A"/>
    <w:rsid w:val="00CF1D67"/>
    <w:rsid w:val="00CF6F80"/>
    <w:rsid w:val="00D13C21"/>
    <w:rsid w:val="00D34AC8"/>
    <w:rsid w:val="00D64ED2"/>
    <w:rsid w:val="00DA6F8D"/>
    <w:rsid w:val="00DB331A"/>
    <w:rsid w:val="00DC384F"/>
    <w:rsid w:val="00DC7469"/>
    <w:rsid w:val="00DF0C58"/>
    <w:rsid w:val="00DF246F"/>
    <w:rsid w:val="00E43020"/>
    <w:rsid w:val="00E4565C"/>
    <w:rsid w:val="00E50540"/>
    <w:rsid w:val="00E706FB"/>
    <w:rsid w:val="00EB1054"/>
    <w:rsid w:val="00EE4315"/>
    <w:rsid w:val="00EE73E4"/>
    <w:rsid w:val="00F0219E"/>
    <w:rsid w:val="00F15D36"/>
    <w:rsid w:val="00F33C24"/>
    <w:rsid w:val="00F37B61"/>
    <w:rsid w:val="00F4391E"/>
    <w:rsid w:val="00FA7DB1"/>
    <w:rsid w:val="00FD10C7"/>
    <w:rsid w:val="00FF3463"/>
    <w:rsid w:val="1A18186C"/>
    <w:rsid w:val="1D5502E4"/>
    <w:rsid w:val="2A6A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0"/>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paragraph" w:customStyle="1" w:styleId="14">
    <w:name w:val="CM2"/>
    <w:basedOn w:val="1"/>
    <w:next w:val="1"/>
    <w:uiPriority w:val="0"/>
    <w:pPr>
      <w:autoSpaceDE w:val="0"/>
      <w:autoSpaceDN w:val="0"/>
      <w:adjustRightInd w:val="0"/>
      <w:spacing w:line="468" w:lineRule="atLeast"/>
      <w:jc w:val="left"/>
    </w:pPr>
    <w:rPr>
      <w:rFonts w:ascii="宋体" w:hAnsi="Times New Roman" w:eastAsia="宋体" w:cs="宋体"/>
      <w:kern w:val="0"/>
      <w:sz w:val="24"/>
      <w:szCs w:val="24"/>
    </w:rPr>
  </w:style>
  <w:style w:type="paragraph" w:styleId="15">
    <w:name w:val="List Paragraph"/>
    <w:basedOn w:val="1"/>
    <w:qFormat/>
    <w:uiPriority w:val="34"/>
    <w:pPr>
      <w:ind w:firstLine="420"/>
    </w:pPr>
  </w:style>
  <w:style w:type="character" w:customStyle="1" w:styleId="16">
    <w:name w:val="批注文字 Char"/>
    <w:basedOn w:val="9"/>
    <w:link w:val="2"/>
    <w:qFormat/>
    <w:uiPriority w:val="0"/>
  </w:style>
  <w:style w:type="character" w:customStyle="1" w:styleId="17">
    <w:name w:val="批注主题 Char"/>
    <w:basedOn w:val="16"/>
    <w:link w:val="7"/>
    <w:semiHidden/>
    <w:qFormat/>
    <w:uiPriority w:val="99"/>
    <w:rPr>
      <w:b/>
      <w:bCs/>
    </w:rPr>
  </w:style>
  <w:style w:type="character" w:customStyle="1" w:styleId="18">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947</Characters>
  <Lines>7</Lines>
  <Paragraphs>2</Paragraphs>
  <TotalTime>547</TotalTime>
  <ScaleCrop>false</ScaleCrop>
  <LinksUpToDate>false</LinksUpToDate>
  <CharactersWithSpaces>1111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2021-06-17T02:00:00Z</dcterms:created>
  <dc:creator>郝钥</dc:creator>
  <cp:lastModifiedBy>Akira</cp:lastModifiedBy>
  <dcterms:modified xsi:type="dcterms:W3CDTF">2021-10-19T06:56:22Z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730EE99ADC0B4E5797D2AC4BEF89A6C4</vt:lpwstr>
  </property>
</Properties>
</file>